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6A" w:rsidRDefault="0026136A" w:rsidP="0026136A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Dr. Shaimaa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Nabhan</w:t>
      </w:r>
      <w:proofErr w:type="spellEnd"/>
    </w:p>
    <w:p w:rsidR="0026136A" w:rsidRDefault="0026136A" w:rsidP="0026136A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Dep. of Microbiology</w:t>
      </w:r>
    </w:p>
    <w:p w:rsidR="0026136A" w:rsidRDefault="0026136A" w:rsidP="0026136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Mycology</w:t>
      </w:r>
    </w:p>
    <w:p w:rsidR="0026136A" w:rsidRDefault="0026136A" w:rsidP="0026136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Blastomycosis</w:t>
      </w:r>
      <w:proofErr w:type="spellEnd"/>
    </w:p>
    <w:p w:rsidR="00D70D9F" w:rsidRPr="00D70D9F" w:rsidRDefault="00FD54C0" w:rsidP="00FD54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</w:t>
      </w:r>
      <w:proofErr w:type="spellStart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>Blastomycosis</w:t>
      </w:r>
      <w:proofErr w:type="spellEnd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 xml:space="preserve"> is an acute or chronic </w:t>
      </w:r>
      <w:proofErr w:type="spellStart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>suppurative</w:t>
      </w:r>
      <w:proofErr w:type="spellEnd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 xml:space="preserve"> and </w:t>
      </w:r>
      <w:proofErr w:type="spellStart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>granulomatous</w:t>
      </w:r>
      <w:proofErr w:type="spellEnd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 xml:space="preserve"> infection.  Its etiologic agent is </w:t>
      </w:r>
      <w:proofErr w:type="spellStart"/>
      <w:r w:rsidR="00D70D9F" w:rsidRPr="00D70D9F">
        <w:rPr>
          <w:rFonts w:asciiTheme="majorBidi" w:hAnsiTheme="majorBidi" w:cstheme="majorBidi"/>
          <w:i/>
          <w:iCs/>
          <w:sz w:val="28"/>
          <w:szCs w:val="28"/>
          <w:lang w:val="en-US"/>
        </w:rPr>
        <w:t>Blastomyces</w:t>
      </w:r>
      <w:proofErr w:type="spellEnd"/>
      <w:r w:rsidR="00D70D9F" w:rsidRPr="00D70D9F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="00D70D9F" w:rsidRPr="00D70D9F">
        <w:rPr>
          <w:rFonts w:asciiTheme="majorBidi" w:hAnsiTheme="majorBidi" w:cstheme="majorBidi"/>
          <w:i/>
          <w:iCs/>
          <w:sz w:val="28"/>
          <w:szCs w:val="28"/>
          <w:lang w:val="en-US"/>
        </w:rPr>
        <w:t>dermatitidis</w:t>
      </w:r>
      <w:proofErr w:type="spellEnd"/>
      <w:r w:rsidR="00D70D9F" w:rsidRPr="00D70D9F">
        <w:rPr>
          <w:rFonts w:asciiTheme="majorBidi" w:hAnsiTheme="majorBidi" w:cstheme="majorBidi"/>
          <w:i/>
          <w:iCs/>
          <w:sz w:val="28"/>
          <w:szCs w:val="28"/>
          <w:lang w:val="en-US"/>
        </w:rPr>
        <w:t>.</w:t>
      </w:r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 xml:space="preserve">  Infection starts in the lungs by inhaling conidia or </w:t>
      </w:r>
      <w:proofErr w:type="spellStart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>hyphal</w:t>
      </w:r>
      <w:proofErr w:type="spellEnd"/>
      <w:r w:rsidR="00D70D9F" w:rsidRPr="00D70D9F">
        <w:rPr>
          <w:rFonts w:asciiTheme="majorBidi" w:hAnsiTheme="majorBidi" w:cstheme="majorBidi"/>
          <w:sz w:val="28"/>
          <w:szCs w:val="28"/>
          <w:lang w:val="en-US"/>
        </w:rPr>
        <w:t xml:space="preserve"> elements and it can spread to involve the lungs, long bones, soft tissue and skin.</w:t>
      </w:r>
    </w:p>
    <w:p w:rsidR="0026136A" w:rsidRDefault="00D70D9F" w:rsidP="00D70D9F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70D9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Properties of </w:t>
      </w:r>
      <w:proofErr w:type="spellStart"/>
      <w:r w:rsidRPr="00D70D9F">
        <w:rPr>
          <w:rFonts w:asciiTheme="majorBidi" w:hAnsiTheme="majorBidi" w:cstheme="majorBidi"/>
          <w:b/>
          <w:bCs/>
          <w:sz w:val="28"/>
          <w:szCs w:val="28"/>
          <w:lang w:val="en-US"/>
        </w:rPr>
        <w:t>Blastomyces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541052" w:rsidRPr="00D70D9F" w:rsidRDefault="00636A94" w:rsidP="005A39D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70D9F">
        <w:rPr>
          <w:rFonts w:asciiTheme="majorBidi" w:hAnsiTheme="majorBidi" w:cstheme="majorBidi"/>
          <w:sz w:val="28"/>
          <w:szCs w:val="28"/>
          <w:lang w:val="en-US"/>
        </w:rPr>
        <w:t xml:space="preserve">B. </w:t>
      </w:r>
      <w:proofErr w:type="spellStart"/>
      <w:r w:rsidRPr="00D70D9F">
        <w:rPr>
          <w:rFonts w:asciiTheme="majorBidi" w:hAnsiTheme="majorBidi" w:cstheme="majorBidi"/>
          <w:sz w:val="28"/>
          <w:szCs w:val="28"/>
          <w:lang w:val="en-US"/>
        </w:rPr>
        <w:t>dermariridis</w:t>
      </w:r>
      <w:proofErr w:type="spellEnd"/>
      <w:r w:rsidRPr="00D70D9F">
        <w:rPr>
          <w:rFonts w:asciiTheme="majorBidi" w:hAnsiTheme="majorBidi" w:cstheme="majorBidi"/>
          <w:sz w:val="28"/>
          <w:szCs w:val="28"/>
          <w:lang w:val="en-US"/>
        </w:rPr>
        <w:t xml:space="preserve"> is a dimorphic fungus that exists as a mold in soil and as </w:t>
      </w:r>
      <w:proofErr w:type="gramStart"/>
      <w:r w:rsidRPr="00D70D9F">
        <w:rPr>
          <w:rFonts w:asciiTheme="majorBidi" w:hAnsiTheme="majorBidi" w:cstheme="majorBidi"/>
          <w:sz w:val="28"/>
          <w:szCs w:val="28"/>
          <w:lang w:val="en-US"/>
        </w:rPr>
        <w:t>a yeast</w:t>
      </w:r>
      <w:proofErr w:type="gramEnd"/>
      <w:r w:rsidRPr="00D70D9F">
        <w:rPr>
          <w:rFonts w:asciiTheme="majorBidi" w:hAnsiTheme="majorBidi" w:cstheme="majorBidi"/>
          <w:sz w:val="28"/>
          <w:szCs w:val="28"/>
          <w:lang w:val="en-US"/>
        </w:rPr>
        <w:t xml:space="preserve"> in tissue. </w:t>
      </w:r>
    </w:p>
    <w:p w:rsidR="00541052" w:rsidRPr="00D70D9F" w:rsidRDefault="00636A94" w:rsidP="005A39D1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70D9F">
        <w:rPr>
          <w:rFonts w:asciiTheme="majorBidi" w:hAnsiTheme="majorBidi" w:cstheme="majorBidi"/>
          <w:sz w:val="28"/>
          <w:szCs w:val="28"/>
          <w:lang w:val="en-US"/>
        </w:rPr>
        <w:t xml:space="preserve">The yeast is round with a doubly refractive wall and a single broad-based bud </w:t>
      </w:r>
    </w:p>
    <w:p w:rsidR="00541052" w:rsidRPr="00D70D9F" w:rsidRDefault="00636A94" w:rsidP="005A39D1">
      <w:pPr>
        <w:numPr>
          <w:ilvl w:val="0"/>
          <w:numId w:val="1"/>
        </w:numPr>
        <w:ind w:right="-341"/>
        <w:jc w:val="center"/>
        <w:rPr>
          <w:rFonts w:asciiTheme="majorBidi" w:hAnsiTheme="majorBidi" w:cstheme="majorBidi"/>
          <w:sz w:val="28"/>
          <w:szCs w:val="28"/>
        </w:rPr>
      </w:pPr>
      <w:r w:rsidRPr="00D70D9F">
        <w:rPr>
          <w:rFonts w:asciiTheme="majorBidi" w:hAnsiTheme="majorBidi" w:cstheme="majorBidi"/>
          <w:sz w:val="28"/>
          <w:szCs w:val="28"/>
          <w:lang w:val="en-US"/>
        </w:rPr>
        <w:t xml:space="preserve">Note that this organism forms a broad-based bud, whereas </w:t>
      </w:r>
      <w:r w:rsidRPr="00D70D9F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Cryptococcus </w:t>
      </w:r>
      <w:proofErr w:type="spellStart"/>
      <w:r w:rsidRPr="00D70D9F">
        <w:rPr>
          <w:rFonts w:asciiTheme="majorBidi" w:hAnsiTheme="majorBidi" w:cstheme="majorBidi"/>
          <w:i/>
          <w:iCs/>
          <w:sz w:val="28"/>
          <w:szCs w:val="28"/>
          <w:lang w:val="en-US"/>
        </w:rPr>
        <w:t>neoformans</w:t>
      </w:r>
      <w:proofErr w:type="spellEnd"/>
      <w:r w:rsidRPr="00D70D9F">
        <w:rPr>
          <w:rFonts w:asciiTheme="majorBidi" w:hAnsiTheme="majorBidi" w:cstheme="majorBidi"/>
          <w:sz w:val="28"/>
          <w:szCs w:val="28"/>
          <w:lang w:val="en-US"/>
        </w:rPr>
        <w:t xml:space="preserve"> is </w:t>
      </w:r>
      <w:proofErr w:type="gramStart"/>
      <w:r w:rsidRPr="00D70D9F">
        <w:rPr>
          <w:rFonts w:asciiTheme="majorBidi" w:hAnsiTheme="majorBidi" w:cstheme="majorBidi"/>
          <w:sz w:val="28"/>
          <w:szCs w:val="28"/>
          <w:lang w:val="en-US"/>
        </w:rPr>
        <w:t>a yeast</w:t>
      </w:r>
      <w:proofErr w:type="gramEnd"/>
      <w:r w:rsidRPr="00D70D9F">
        <w:rPr>
          <w:rFonts w:asciiTheme="majorBidi" w:hAnsiTheme="majorBidi" w:cstheme="majorBidi"/>
          <w:sz w:val="28"/>
          <w:szCs w:val="28"/>
          <w:lang w:val="en-US"/>
        </w:rPr>
        <w:t xml:space="preserve"> that forms a narrow-based </w:t>
      </w:r>
      <w:r w:rsidR="002268FD">
        <w:rPr>
          <w:rFonts w:asciiTheme="majorBidi" w:hAnsiTheme="majorBidi" w:cstheme="majorBidi"/>
          <w:sz w:val="28"/>
          <w:szCs w:val="28"/>
          <w:lang w:val="en-US"/>
        </w:rPr>
        <w:t>b</w:t>
      </w:r>
      <w:r w:rsidRPr="00D70D9F">
        <w:rPr>
          <w:rFonts w:asciiTheme="majorBidi" w:hAnsiTheme="majorBidi" w:cstheme="majorBidi"/>
          <w:sz w:val="28"/>
          <w:szCs w:val="28"/>
          <w:lang w:val="en-US"/>
        </w:rPr>
        <w:t>ud.</w:t>
      </w:r>
      <w:r w:rsidR="00D70D9F">
        <w:rPr>
          <w:rFonts w:asciiTheme="majorBidi" w:hAnsiTheme="majorBidi" w:cstheme="majorBidi"/>
          <w:sz w:val="28"/>
          <w:szCs w:val="28"/>
          <w:lang w:val="en-US"/>
        </w:rPr>
        <w:t xml:space="preserve">                   </w:t>
      </w:r>
      <w:r w:rsidR="002268FD">
        <w:rPr>
          <w:rFonts w:asciiTheme="majorBidi" w:hAnsiTheme="majorBidi" w:cstheme="majorBidi"/>
          <w:sz w:val="28"/>
          <w:szCs w:val="28"/>
          <w:lang w:val="en-US"/>
        </w:rPr>
        <w:t xml:space="preserve">               </w:t>
      </w:r>
      <w:r w:rsidR="005A39D1"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D70D9F" w:rsidRPr="00D70D9F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854200" cy="1038225"/>
            <wp:effectExtent l="57150" t="38100" r="31750" b="285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038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9F" w:rsidRDefault="00D70D9F" w:rsidP="00D70D9F">
      <w:pPr>
        <w:rPr>
          <w:rFonts w:asciiTheme="majorBidi" w:hAnsiTheme="majorBidi" w:cstheme="majorBidi"/>
          <w:sz w:val="28"/>
          <w:szCs w:val="28"/>
        </w:rPr>
      </w:pPr>
    </w:p>
    <w:p w:rsidR="002268FD" w:rsidRDefault="002268FD" w:rsidP="00D70D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B6297">
        <w:rPr>
          <w:rFonts w:asciiTheme="majorBidi" w:hAnsiTheme="majorBidi" w:cstheme="majorBidi"/>
          <w:b/>
          <w:bCs/>
          <w:sz w:val="28"/>
          <w:szCs w:val="28"/>
        </w:rPr>
        <w:t>Pathogenesis:</w:t>
      </w:r>
    </w:p>
    <w:p w:rsidR="001B6297" w:rsidRPr="001B6297" w:rsidRDefault="001B6297" w:rsidP="001B629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1B6297">
        <w:rPr>
          <w:rFonts w:asciiTheme="majorBidi" w:hAnsiTheme="majorBidi" w:cstheme="majorBidi"/>
          <w:sz w:val="28"/>
          <w:szCs w:val="28"/>
        </w:rPr>
        <w:t xml:space="preserve">Infections with this fungus begin with inhalation of spores into the lung. If the organism evades nonspecific host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defense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1B6297">
        <w:rPr>
          <w:rFonts w:asciiTheme="majorBidi" w:hAnsiTheme="majorBidi" w:cstheme="majorBidi"/>
          <w:sz w:val="28"/>
          <w:szCs w:val="28"/>
        </w:rPr>
        <w:t xml:space="preserve">mechanisms </w:t>
      </w:r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 xml:space="preserve"> the fungus undergoes a phase transition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>yeast cells; the cells increase in number in the parenchyma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>the lung and spread to other organs via the bloodstream. With</w:t>
      </w:r>
      <w:r>
        <w:rPr>
          <w:rFonts w:asciiTheme="majorBidi" w:hAnsiTheme="majorBidi" w:cstheme="majorBidi"/>
          <w:sz w:val="28"/>
          <w:szCs w:val="28"/>
        </w:rPr>
        <w:t xml:space="preserve"> t</w:t>
      </w:r>
      <w:r w:rsidRPr="001B6297">
        <w:rPr>
          <w:rFonts w:asciiTheme="majorBidi" w:hAnsiTheme="majorBidi" w:cstheme="majorBidi"/>
          <w:sz w:val="28"/>
          <w:szCs w:val="28"/>
        </w:rPr>
        <w:t xml:space="preserve">he development of immunity, inflammatory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pyogranulomatous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>reactions occur at the initial pulmonary site and at the widespread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>foci of infection. The initial response to the fungus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suppurative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 xml:space="preserve"> and is followed by formation of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granulomas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>. This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 xml:space="preserve">mixed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neutrophilic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 xml:space="preserve"> and mononuclear cell response is distinctive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blastomycosis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>, although necrosis or fibrosis may also occur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1B6297">
        <w:rPr>
          <w:rFonts w:asciiTheme="majorBidi" w:hAnsiTheme="majorBidi" w:cstheme="majorBidi"/>
          <w:sz w:val="28"/>
          <w:szCs w:val="28"/>
        </w:rPr>
        <w:t xml:space="preserve">Typically, </w:t>
      </w:r>
      <w:r w:rsidRPr="001B6297">
        <w:rPr>
          <w:rFonts w:asciiTheme="majorBidi" w:hAnsiTheme="majorBidi" w:cstheme="majorBidi"/>
          <w:sz w:val="28"/>
          <w:szCs w:val="28"/>
        </w:rPr>
        <w:lastRenderedPageBreak/>
        <w:t xml:space="preserve">the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granuloma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blastomycosis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 xml:space="preserve"> does not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caseate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>as it does in tuberculosis. Despite spontaneous resolution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>of the pneumonia in some cases, endogenous reactivation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 xml:space="preserve">occur at either pulmonary or </w:t>
      </w:r>
      <w:proofErr w:type="spellStart"/>
      <w:r w:rsidRPr="001B6297">
        <w:rPr>
          <w:rFonts w:asciiTheme="majorBidi" w:hAnsiTheme="majorBidi" w:cstheme="majorBidi"/>
          <w:sz w:val="28"/>
          <w:szCs w:val="28"/>
        </w:rPr>
        <w:t>extrapulmonary</w:t>
      </w:r>
      <w:proofErr w:type="spellEnd"/>
      <w:r w:rsidRPr="001B6297">
        <w:rPr>
          <w:rFonts w:asciiTheme="majorBidi" w:hAnsiTheme="majorBidi" w:cstheme="majorBidi"/>
          <w:sz w:val="28"/>
          <w:szCs w:val="28"/>
        </w:rPr>
        <w:t xml:space="preserve"> sites, with 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B6297">
        <w:rPr>
          <w:rFonts w:asciiTheme="majorBidi" w:hAnsiTheme="majorBidi" w:cstheme="majorBidi"/>
          <w:sz w:val="28"/>
          <w:szCs w:val="28"/>
        </w:rPr>
        <w:t>without previous therapy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41052" w:rsidRPr="00980003" w:rsidRDefault="00541052" w:rsidP="001B6297">
      <w:pPr>
        <w:rPr>
          <w:rFonts w:asciiTheme="majorBidi" w:hAnsiTheme="majorBidi" w:cstheme="majorBidi"/>
          <w:sz w:val="28"/>
          <w:szCs w:val="28"/>
        </w:rPr>
      </w:pPr>
    </w:p>
    <w:p w:rsidR="002268FD" w:rsidRPr="00C52E87" w:rsidRDefault="00C52E87" w:rsidP="00C52E8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C52E87">
        <w:rPr>
          <w:rFonts w:asciiTheme="majorBidi" w:hAnsiTheme="majorBidi" w:cstheme="majorBidi"/>
          <w:b/>
          <w:bCs/>
          <w:sz w:val="28"/>
          <w:szCs w:val="28"/>
        </w:rPr>
        <w:t>Clinical findings</w:t>
      </w:r>
      <w:r w:rsidR="00980003" w:rsidRPr="00C52E8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41052" w:rsidRPr="00980003" w:rsidRDefault="00636A94" w:rsidP="00980003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Acute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  </w:t>
      </w:r>
    </w:p>
    <w:p w:rsidR="00980003" w:rsidRPr="00980003" w:rsidRDefault="00980003" w:rsidP="00980003">
      <w:p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lang w:val="en-US"/>
        </w:rPr>
        <w:tab/>
      </w:r>
      <w:r w:rsidRPr="00980003">
        <w:rPr>
          <w:rFonts w:asciiTheme="majorBidi" w:hAnsiTheme="majorBidi" w:cstheme="majorBidi"/>
          <w:b/>
          <w:bCs/>
          <w:sz w:val="28"/>
          <w:szCs w:val="28"/>
          <w:lang w:val="en-US"/>
        </w:rPr>
        <w:t>Flu-like symptoms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 (fever, muscle pain, joint pain, chills, chest pain, cough) </w:t>
      </w:r>
    </w:p>
    <w:p w:rsidR="00980003" w:rsidRPr="00980003" w:rsidRDefault="00980003" w:rsidP="00980003">
      <w:p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lang w:val="en-US"/>
        </w:rPr>
        <w:tab/>
      </w:r>
      <w:r w:rsidRPr="00980003">
        <w:rPr>
          <w:rFonts w:asciiTheme="majorBidi" w:hAnsiTheme="majorBidi" w:cstheme="majorBidi"/>
          <w:b/>
          <w:bCs/>
          <w:sz w:val="28"/>
          <w:szCs w:val="28"/>
          <w:lang w:val="en-US"/>
        </w:rPr>
        <w:t>Pneumonia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980003" w:rsidRPr="00980003" w:rsidRDefault="00980003" w:rsidP="00980003">
      <w:p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lang w:val="en-US"/>
        </w:rPr>
        <w:tab/>
        <w:t xml:space="preserve">Spontaneous resolution is </w:t>
      </w:r>
      <w:proofErr w:type="gramStart"/>
      <w:r w:rsidRPr="00980003">
        <w:rPr>
          <w:rFonts w:asciiTheme="majorBidi" w:hAnsiTheme="majorBidi" w:cstheme="majorBidi"/>
          <w:sz w:val="28"/>
          <w:szCs w:val="28"/>
          <w:lang w:val="en-US"/>
        </w:rPr>
        <w:t>rare</w:t>
      </w:r>
      <w:r>
        <w:rPr>
          <w:rFonts w:asciiTheme="majorBidi" w:hAnsiTheme="majorBidi" w:cstheme="majorBidi"/>
          <w:sz w:val="28"/>
          <w:szCs w:val="28"/>
          <w:lang w:val="en-US"/>
        </w:rPr>
        <w:t>,</w:t>
      </w:r>
      <w:proofErr w:type="gramEnd"/>
      <w:r w:rsidRPr="00980003">
        <w:rPr>
          <w:rFonts w:asciiTheme="majorBidi" w:hAnsiTheme="majorBidi" w:cstheme="majorBidi"/>
          <w:sz w:val="28"/>
          <w:szCs w:val="28"/>
          <w:lang w:val="en-US"/>
        </w:rPr>
        <w:tab/>
        <w:t>Most patients go on to chronic or recurrent infection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>CXR – lower lobe consolidation</w:t>
      </w:r>
    </w:p>
    <w:p w:rsidR="00980003" w:rsidRPr="00980003" w:rsidRDefault="00980003" w:rsidP="00980003">
      <w:p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2.  </w:t>
      </w:r>
      <w:r w:rsidRPr="00980003">
        <w:rPr>
          <w:rFonts w:asciiTheme="majorBidi" w:hAnsiTheme="majorBidi" w:cstheme="majorBidi"/>
          <w:b/>
          <w:bCs/>
          <w:sz w:val="28"/>
          <w:szCs w:val="28"/>
          <w:lang w:val="en-US"/>
        </w:rPr>
        <w:t>Chronic/Recurrent</w:t>
      </w:r>
    </w:p>
    <w:p w:rsidR="00980003" w:rsidRPr="00980003" w:rsidRDefault="00636A94" w:rsidP="00980003">
      <w:pPr>
        <w:numPr>
          <w:ilvl w:val="1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u w:val="single"/>
          <w:lang w:val="en-US"/>
        </w:rPr>
        <w:t>Pulmonary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ab/>
      </w:r>
      <w:r w:rsidR="00980003">
        <w:rPr>
          <w:rFonts w:asciiTheme="majorBidi" w:hAnsiTheme="majorBidi" w:cstheme="majorBidi"/>
          <w:sz w:val="28"/>
          <w:szCs w:val="28"/>
          <w:lang w:val="en-US"/>
        </w:rPr>
        <w:t>: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 chronic pneumonia</w:t>
      </w:r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 xml:space="preserve">( </w:t>
      </w:r>
      <w:proofErr w:type="spellStart"/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>cavitation</w:t>
      </w:r>
      <w:proofErr w:type="spellEnd"/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 xml:space="preserve"> , pleural involvement</w:t>
      </w:r>
      <w:r w:rsidR="00980003">
        <w:rPr>
          <w:rFonts w:asciiTheme="majorBidi" w:hAnsiTheme="majorBidi" w:cstheme="majorBidi"/>
          <w:sz w:val="28"/>
          <w:szCs w:val="28"/>
          <w:lang w:val="en-US"/>
        </w:rPr>
        <w:t>)</w:t>
      </w:r>
    </w:p>
    <w:p w:rsidR="00980003" w:rsidRPr="00980003" w:rsidRDefault="00636A94" w:rsidP="00980003">
      <w:pPr>
        <w:numPr>
          <w:ilvl w:val="1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u w:val="single"/>
          <w:lang w:val="en-US"/>
        </w:rPr>
        <w:t>Skin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   40-80%skin and mucosa</w:t>
      </w:r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>pustular</w:t>
      </w:r>
      <w:proofErr w:type="spellEnd"/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>verrucous</w:t>
      </w:r>
      <w:proofErr w:type="spellEnd"/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 xml:space="preserve">), heaped-up </w:t>
      </w:r>
      <w:r w:rsidR="00980003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 xml:space="preserve"> ulcerated lesions </w:t>
      </w:r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ab/>
      </w:r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ab/>
      </w:r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ab/>
      </w:r>
      <w:r w:rsidR="00980003" w:rsidRPr="00980003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541052" w:rsidRPr="00980003" w:rsidRDefault="00636A94" w:rsidP="00980003">
      <w:pPr>
        <w:numPr>
          <w:ilvl w:val="1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u w:val="single"/>
          <w:lang w:val="en-US"/>
        </w:rPr>
        <w:t>Subcutaneous nodules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541052" w:rsidRPr="00980003" w:rsidRDefault="00636A94" w:rsidP="00980003">
      <w:pPr>
        <w:numPr>
          <w:ilvl w:val="1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Bone/joint 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>infection</w:t>
      </w:r>
    </w:p>
    <w:p w:rsidR="00541052" w:rsidRPr="00980003" w:rsidRDefault="00636A94" w:rsidP="00980003">
      <w:pPr>
        <w:numPr>
          <w:ilvl w:val="1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980003">
        <w:rPr>
          <w:rFonts w:asciiTheme="majorBidi" w:hAnsiTheme="majorBidi" w:cstheme="majorBidi"/>
          <w:sz w:val="28"/>
          <w:szCs w:val="28"/>
          <w:u w:val="single"/>
          <w:lang w:val="en-US"/>
        </w:rPr>
        <w:t>GU tract</w:t>
      </w:r>
      <w:r w:rsidR="00980003">
        <w:rPr>
          <w:rFonts w:asciiTheme="majorBidi" w:hAnsiTheme="majorBidi" w:cstheme="majorBidi"/>
          <w:sz w:val="28"/>
          <w:szCs w:val="28"/>
          <w:u w:val="single"/>
          <w:lang w:val="en-US"/>
        </w:rPr>
        <w:t>,</w:t>
      </w:r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 prostate, </w:t>
      </w:r>
      <w:proofErr w:type="spellStart"/>
      <w:r w:rsidRPr="00980003">
        <w:rPr>
          <w:rFonts w:asciiTheme="majorBidi" w:hAnsiTheme="majorBidi" w:cstheme="majorBidi"/>
          <w:sz w:val="28"/>
          <w:szCs w:val="28"/>
          <w:lang w:val="en-US"/>
        </w:rPr>
        <w:t>epididymis</w:t>
      </w:r>
      <w:proofErr w:type="spellEnd"/>
      <w:r w:rsidRPr="00980003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980003" w:rsidRDefault="00C52E87" w:rsidP="00D70D9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52E87">
        <w:rPr>
          <w:rFonts w:asciiTheme="majorBidi" w:hAnsiTheme="majorBidi" w:cstheme="majorBidi"/>
          <w:b/>
          <w:bCs/>
          <w:sz w:val="32"/>
          <w:szCs w:val="32"/>
        </w:rPr>
        <w:t>Diagnosis:</w:t>
      </w:r>
    </w:p>
    <w:p w:rsidR="00943BD2" w:rsidRPr="00943BD2" w:rsidRDefault="005A39D1" w:rsidP="005A39D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</w:t>
      </w:r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 xml:space="preserve">Specimens of choice for isolating </w:t>
      </w:r>
      <w:proofErr w:type="spellStart"/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>Blastomyces</w:t>
      </w:r>
      <w:proofErr w:type="spellEnd"/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 xml:space="preserve"> include </w:t>
      </w:r>
      <w:proofErr w:type="spellStart"/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>cutaneous</w:t>
      </w:r>
      <w:proofErr w:type="spellEnd"/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 xml:space="preserve"> lesions, </w:t>
      </w:r>
      <w:proofErr w:type="spellStart"/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>sputum</w:t>
      </w:r>
      <w:proofErr w:type="gramStart"/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>,Prostatic</w:t>
      </w:r>
      <w:proofErr w:type="spellEnd"/>
      <w:proofErr w:type="gramEnd"/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 xml:space="preserve"> fluid</w:t>
      </w:r>
      <w:r w:rsidR="00943BD2"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="00943BD2" w:rsidRPr="00943BD2">
        <w:rPr>
          <w:rFonts w:asciiTheme="majorBidi" w:hAnsiTheme="majorBidi" w:cstheme="majorBidi"/>
          <w:sz w:val="28"/>
          <w:szCs w:val="28"/>
          <w:lang w:val="en-US"/>
        </w:rPr>
        <w:t>Pus (skin, etc.) and a biopsy of the affected organ.</w:t>
      </w:r>
    </w:p>
    <w:p w:rsidR="00943BD2" w:rsidRPr="00943BD2" w:rsidRDefault="00943BD2" w:rsidP="005A39D1">
      <w:pPr>
        <w:jc w:val="both"/>
        <w:rPr>
          <w:rFonts w:asciiTheme="majorBidi" w:hAnsiTheme="majorBidi" w:cstheme="majorBidi"/>
          <w:sz w:val="28"/>
          <w:szCs w:val="28"/>
        </w:rPr>
      </w:pP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The specimens can be </w:t>
      </w:r>
      <w:r w:rsidRPr="00943BD2">
        <w:rPr>
          <w:rFonts w:asciiTheme="majorBidi" w:hAnsiTheme="majorBidi" w:cstheme="majorBidi"/>
          <w:b/>
          <w:bCs/>
          <w:sz w:val="28"/>
          <w:szCs w:val="28"/>
          <w:lang w:val="en-US"/>
        </w:rPr>
        <w:t>examined directly</w:t>
      </w: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using a KOH preparation or various histological stains such as PAS,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Methenamine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silver stain, and the H&amp;E stain.  These specimens are examined for spherical budding yeast that </w:t>
      </w:r>
      <w:proofErr w:type="gramStart"/>
      <w:r w:rsidRPr="00943BD2">
        <w:rPr>
          <w:rFonts w:asciiTheme="majorBidi" w:hAnsiTheme="majorBidi" w:cstheme="majorBidi"/>
          <w:sz w:val="28"/>
          <w:szCs w:val="28"/>
          <w:lang w:val="en-US"/>
        </w:rPr>
        <w:t>have</w:t>
      </w:r>
      <w:proofErr w:type="gram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a single bud that is connected to the parent cell by a broad base.  The yeast is generally 8-15 um in size.  </w:t>
      </w:r>
      <w:r w:rsidRPr="00943BD2">
        <w:rPr>
          <w:rFonts w:asciiTheme="majorBidi" w:hAnsiTheme="majorBidi" w:cstheme="majorBidi"/>
          <w:b/>
          <w:bCs/>
          <w:sz w:val="28"/>
          <w:szCs w:val="28"/>
          <w:lang w:val="en-US"/>
        </w:rPr>
        <w:t>The mold phase</w:t>
      </w: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of </w:t>
      </w:r>
      <w:proofErr w:type="spellStart"/>
      <w:r w:rsidRPr="00943BD2">
        <w:rPr>
          <w:rFonts w:asciiTheme="majorBidi" w:hAnsiTheme="majorBidi" w:cstheme="majorBidi"/>
          <w:i/>
          <w:iCs/>
          <w:sz w:val="28"/>
          <w:szCs w:val="28"/>
          <w:lang w:val="en-US"/>
        </w:rPr>
        <w:t>Blastomyces</w:t>
      </w:r>
      <w:proofErr w:type="spellEnd"/>
      <w:r w:rsidRPr="00943BD2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proofErr w:type="spellStart"/>
      <w:r w:rsidRPr="00943BD2">
        <w:rPr>
          <w:rFonts w:asciiTheme="majorBidi" w:hAnsiTheme="majorBidi" w:cstheme="majorBidi"/>
          <w:i/>
          <w:iCs/>
          <w:sz w:val="28"/>
          <w:szCs w:val="28"/>
          <w:lang w:val="en-US"/>
        </w:rPr>
        <w:lastRenderedPageBreak/>
        <w:t>dermatitidis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can be </w:t>
      </w:r>
      <w:r w:rsidRPr="00943BD2">
        <w:rPr>
          <w:rFonts w:asciiTheme="majorBidi" w:hAnsiTheme="majorBidi" w:cstheme="majorBidi"/>
          <w:b/>
          <w:bCs/>
          <w:sz w:val="28"/>
          <w:szCs w:val="28"/>
          <w:lang w:val="en-US"/>
        </w:rPr>
        <w:t>cultured</w:t>
      </w: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on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Sabouraud’s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and Inhibitory Mold agars. Good growth occurs at 1-4 weeks.  </w:t>
      </w:r>
      <w:proofErr w:type="spellStart"/>
      <w:r w:rsidRPr="00943BD2">
        <w:rPr>
          <w:rFonts w:asciiTheme="majorBidi" w:hAnsiTheme="majorBidi" w:cstheme="majorBidi"/>
          <w:i/>
          <w:iCs/>
          <w:sz w:val="28"/>
          <w:szCs w:val="28"/>
          <w:lang w:val="en-US"/>
        </w:rPr>
        <w:t>Blastomyces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will not grow on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Mycosel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agar.  The culture media is incubated at 25-30ºC in ambient air for up to 4-6 weeks.</w:t>
      </w:r>
    </w:p>
    <w:p w:rsidR="00943BD2" w:rsidRPr="00943BD2" w:rsidRDefault="00943BD2" w:rsidP="005A39D1">
      <w:pPr>
        <w:jc w:val="both"/>
        <w:rPr>
          <w:rFonts w:asciiTheme="majorBidi" w:hAnsiTheme="majorBidi" w:cstheme="majorBidi"/>
          <w:sz w:val="28"/>
          <w:szCs w:val="28"/>
        </w:rPr>
      </w:pPr>
      <w:r w:rsidRPr="00943BD2">
        <w:rPr>
          <w:rFonts w:asciiTheme="majorBidi" w:hAnsiTheme="majorBidi" w:cstheme="majorBidi"/>
          <w:b/>
          <w:bCs/>
          <w:sz w:val="28"/>
          <w:szCs w:val="28"/>
          <w:lang w:val="en-US"/>
        </w:rPr>
        <w:t>Colony morphology</w:t>
      </w: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of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Blastomyces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dermatitidis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has a white to beige colony on its surface and the reverse is pale to brownish.  The colony texture is downy.</w:t>
      </w:r>
    </w:p>
    <w:p w:rsidR="002560CF" w:rsidRDefault="00943BD2" w:rsidP="005A39D1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43BD2">
        <w:rPr>
          <w:rFonts w:asciiTheme="majorBidi" w:hAnsiTheme="majorBidi" w:cstheme="majorBidi"/>
          <w:b/>
          <w:bCs/>
          <w:sz w:val="28"/>
          <w:szCs w:val="28"/>
          <w:lang w:val="en-US"/>
        </w:rPr>
        <w:t>Microscopic morphology</w:t>
      </w: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will have hyaline,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septate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hyphae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.  The conidiophores are short and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unbranched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.  The conidia are hyaline,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pyriform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, unicellular, terminal, and solitary.  Basically the mold form of </w:t>
      </w:r>
      <w:proofErr w:type="spellStart"/>
      <w:r w:rsidRPr="00943BD2">
        <w:rPr>
          <w:rFonts w:asciiTheme="majorBidi" w:hAnsiTheme="majorBidi" w:cstheme="majorBidi"/>
          <w:i/>
          <w:iCs/>
          <w:sz w:val="28"/>
          <w:szCs w:val="28"/>
          <w:lang w:val="en-US"/>
        </w:rPr>
        <w:t>Blastomyces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is very nondescript. Upon culturing the mold form in the lab, </w:t>
      </w:r>
      <w:r w:rsidRPr="00943BD2">
        <w:rPr>
          <w:rFonts w:asciiTheme="majorBidi" w:hAnsiTheme="majorBidi" w:cstheme="majorBidi"/>
          <w:b/>
          <w:bCs/>
          <w:sz w:val="28"/>
          <w:szCs w:val="28"/>
          <w:lang w:val="en-US"/>
        </w:rPr>
        <w:t>the yeast form</w:t>
      </w: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must be demonstrated to determine the identification of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Blastomyces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dermatitidis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.  Cottonseed conversion agar can be used and it should be </w:t>
      </w:r>
      <w:proofErr w:type="gramStart"/>
      <w:r w:rsidRPr="00943BD2">
        <w:rPr>
          <w:rFonts w:asciiTheme="majorBidi" w:hAnsiTheme="majorBidi" w:cstheme="majorBidi"/>
          <w:sz w:val="28"/>
          <w:szCs w:val="28"/>
          <w:lang w:val="en-US"/>
        </w:rPr>
        <w:t>incubate</w:t>
      </w:r>
      <w:proofErr w:type="gram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at 35ºC in ambient air for 1 week. 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Blastomyces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is the only instance where mold-to-yeast conversion is feasible in the clinical lab.  </w:t>
      </w:r>
      <w:r w:rsidRPr="00943BD2">
        <w:rPr>
          <w:rFonts w:asciiTheme="majorBidi" w:hAnsiTheme="majorBidi" w:cstheme="majorBidi"/>
          <w:b/>
          <w:bCs/>
          <w:sz w:val="28"/>
          <w:szCs w:val="28"/>
          <w:lang w:val="en-US"/>
        </w:rPr>
        <w:t>Colony morphology</w:t>
      </w:r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for the yeast form has a white to beige colony that is creamy and granular to </w:t>
      </w:r>
      <w:proofErr w:type="spellStart"/>
      <w:r w:rsidRPr="00943BD2">
        <w:rPr>
          <w:rFonts w:asciiTheme="majorBidi" w:hAnsiTheme="majorBidi" w:cstheme="majorBidi"/>
          <w:sz w:val="28"/>
          <w:szCs w:val="28"/>
          <w:lang w:val="en-US"/>
        </w:rPr>
        <w:t>verrucose</w:t>
      </w:r>
      <w:proofErr w:type="spellEnd"/>
      <w:r w:rsidRPr="00943BD2">
        <w:rPr>
          <w:rFonts w:asciiTheme="majorBidi" w:hAnsiTheme="majorBidi" w:cstheme="majorBidi"/>
          <w:sz w:val="28"/>
          <w:szCs w:val="28"/>
          <w:lang w:val="en-US"/>
        </w:rPr>
        <w:t xml:space="preserve"> in texture. 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The microscopic morphology for </w:t>
      </w:r>
      <w:proofErr w:type="spellStart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Blastomyces</w:t>
      </w:r>
      <w:proofErr w:type="spellEnd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dermatitidis</w:t>
      </w:r>
      <w:proofErr w:type="spellEnd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 is the diagnostic form.  </w:t>
      </w:r>
      <w:r w:rsidR="002560CF"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The yeast cells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 have thick </w:t>
      </w:r>
      <w:proofErr w:type="spellStart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refractile</w:t>
      </w:r>
      <w:proofErr w:type="spellEnd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 walls, and a single bud with a broad base.  An easy way to remember this </w:t>
      </w:r>
      <w:proofErr w:type="gramStart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is a “</w:t>
      </w:r>
      <w:proofErr w:type="gramEnd"/>
      <w:r w:rsidR="002560CF" w:rsidRPr="002560CF">
        <w:rPr>
          <w:rFonts w:asciiTheme="majorBidi" w:hAnsiTheme="majorBidi" w:cstheme="majorBidi"/>
          <w:color w:val="FF0000"/>
          <w:sz w:val="28"/>
          <w:szCs w:val="28"/>
          <w:lang w:val="en-US"/>
        </w:rPr>
        <w:t>B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road </w:t>
      </w:r>
      <w:r w:rsidR="002560CF" w:rsidRPr="002560CF">
        <w:rPr>
          <w:rFonts w:asciiTheme="majorBidi" w:hAnsiTheme="majorBidi" w:cstheme="majorBidi"/>
          <w:color w:val="FF0000"/>
          <w:sz w:val="28"/>
          <w:szCs w:val="28"/>
          <w:lang w:val="en-US"/>
        </w:rPr>
        <w:t>B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ased </w:t>
      </w:r>
      <w:r w:rsidR="002560CF" w:rsidRPr="002560CF">
        <w:rPr>
          <w:rFonts w:asciiTheme="majorBidi" w:hAnsiTheme="majorBidi" w:cstheme="majorBidi"/>
          <w:color w:val="FF0000"/>
          <w:sz w:val="28"/>
          <w:szCs w:val="28"/>
          <w:lang w:val="en-US"/>
        </w:rPr>
        <w:t>B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udding yeast” has a lot of </w:t>
      </w:r>
      <w:r w:rsidR="002560CF" w:rsidRPr="002560CF">
        <w:rPr>
          <w:rFonts w:asciiTheme="majorBidi" w:hAnsiTheme="majorBidi" w:cstheme="majorBidi"/>
          <w:color w:val="FF0000"/>
          <w:sz w:val="28"/>
          <w:szCs w:val="28"/>
          <w:lang w:val="en-US"/>
        </w:rPr>
        <w:t>B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’s in it and </w:t>
      </w:r>
      <w:proofErr w:type="spellStart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Blastomyces</w:t>
      </w:r>
      <w:proofErr w:type="spellEnd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dermatitidis</w:t>
      </w:r>
      <w:proofErr w:type="spellEnd"/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 xml:space="preserve"> begins with </w:t>
      </w:r>
      <w:r w:rsidR="002560CF" w:rsidRPr="002560CF">
        <w:rPr>
          <w:rFonts w:asciiTheme="majorBidi" w:hAnsiTheme="majorBidi" w:cstheme="majorBidi"/>
          <w:color w:val="FF0000"/>
          <w:sz w:val="28"/>
          <w:szCs w:val="28"/>
          <w:lang w:val="en-US"/>
        </w:rPr>
        <w:t>B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2560CF" w:rsidRPr="002560CF" w:rsidRDefault="002560CF" w:rsidP="002560CF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Serological Tests:</w:t>
      </w:r>
    </w:p>
    <w:p w:rsidR="002560CF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sz w:val="28"/>
          <w:szCs w:val="28"/>
          <w:lang w:val="en-US"/>
        </w:rPr>
        <w:t>More likely to be positive later in disease (&gt;6 wk)</w:t>
      </w:r>
      <w:r w:rsidRPr="002560CF">
        <w:rPr>
          <w:rFonts w:asciiTheme="majorBidi" w:hAnsiTheme="majorBidi" w:cstheme="majorBidi"/>
          <w:sz w:val="28"/>
          <w:szCs w:val="28"/>
          <w:u w:val="single"/>
          <w:lang w:val="en-US"/>
        </w:rPr>
        <w:t xml:space="preserve"> </w:t>
      </w:r>
    </w:p>
    <w:p w:rsidR="00541052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1-</w:t>
      </w:r>
      <w:r w:rsidR="00636A94"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Complement Fixation Test (CFT)</w:t>
      </w:r>
    </w:p>
    <w:p w:rsidR="00541052" w:rsidRPr="002560CF" w:rsidRDefault="00636A94" w:rsidP="002560CF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sz w:val="28"/>
          <w:szCs w:val="28"/>
          <w:lang w:val="en-US"/>
        </w:rPr>
        <w:t>Insensitive (&lt;50%)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,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Non-specific (X-reactions)</w:t>
      </w:r>
    </w:p>
    <w:p w:rsidR="00541052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2-</w:t>
      </w:r>
      <w:r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exoantigen test performed b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y </w:t>
      </w:r>
      <w:proofErr w:type="spellStart"/>
      <w:r w:rsidR="00636A94"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Immunodiffusion</w:t>
      </w:r>
      <w:proofErr w:type="spellEnd"/>
      <w:r w:rsidR="00636A94"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</w:p>
    <w:p w:rsidR="00541052" w:rsidRPr="002560CF" w:rsidRDefault="00636A94" w:rsidP="002560CF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sz w:val="28"/>
          <w:szCs w:val="28"/>
          <w:lang w:val="en-US"/>
        </w:rPr>
        <w:t>Sensitivity 52-80% using A Ag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2560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Good specificity &gt;90%</w:t>
      </w:r>
    </w:p>
    <w:p w:rsidR="00541052" w:rsidRPr="002560CF" w:rsidRDefault="00636A94" w:rsidP="002560CF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sz w:val="28"/>
          <w:szCs w:val="28"/>
          <w:lang w:val="en-US"/>
        </w:rPr>
        <w:t>Disseminated disease 88% positive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2560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Local disease 33% positive</w:t>
      </w:r>
    </w:p>
    <w:p w:rsidR="00541052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3-</w:t>
      </w:r>
      <w:r w:rsidR="00636A94"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ELISA</w:t>
      </w:r>
    </w:p>
    <w:p w:rsidR="00541052" w:rsidRPr="002560CF" w:rsidRDefault="00636A94" w:rsidP="002560CF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sz w:val="28"/>
          <w:szCs w:val="28"/>
          <w:lang w:val="en-US"/>
        </w:rPr>
        <w:t>Best with A Ag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2560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Sensitivity 80%</w:t>
      </w:r>
      <w:r w:rsidR="002560CF" w:rsidRPr="002560CF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2560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Specificity 80-92%</w:t>
      </w:r>
    </w:p>
    <w:p w:rsidR="00541052" w:rsidRPr="002560CF" w:rsidRDefault="00636A94" w:rsidP="002560CF">
      <w:pPr>
        <w:numPr>
          <w:ilvl w:val="1"/>
          <w:numId w:val="9"/>
        </w:num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Single </w:t>
      </w:r>
      <w:proofErr w:type="spellStart"/>
      <w:r w:rsidRPr="002560CF">
        <w:rPr>
          <w:rFonts w:asciiTheme="majorBidi" w:hAnsiTheme="majorBidi" w:cstheme="majorBidi"/>
          <w:sz w:val="28"/>
          <w:szCs w:val="28"/>
          <w:lang w:val="en-US"/>
        </w:rPr>
        <w:t>titre</w:t>
      </w:r>
      <w:proofErr w:type="spellEnd"/>
      <w:r w:rsidRPr="002560CF">
        <w:rPr>
          <w:rFonts w:asciiTheme="majorBidi" w:hAnsiTheme="majorBidi" w:cstheme="majorBidi"/>
          <w:sz w:val="28"/>
          <w:szCs w:val="28"/>
          <w:lang w:val="en-US"/>
        </w:rPr>
        <w:t xml:space="preserve"> of ≥1:32 strongly supports diagnosis, 1:8 – 1:16 suggestive</w:t>
      </w:r>
    </w:p>
    <w:p w:rsidR="002560CF" w:rsidRPr="002560CF" w:rsidRDefault="002560CF" w:rsidP="002560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4- </w:t>
      </w:r>
      <w:proofErr w:type="gramStart"/>
      <w:r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the</w:t>
      </w:r>
      <w:proofErr w:type="gramEnd"/>
      <w:r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nucleic acid amplification assay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.</w:t>
      </w:r>
    </w:p>
    <w:p w:rsidR="002560CF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2560CF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r w:rsidRPr="002560CF">
        <w:rPr>
          <w:rFonts w:asciiTheme="majorBidi" w:hAnsiTheme="majorBidi" w:cstheme="majorBidi"/>
          <w:b/>
          <w:bCs/>
          <w:sz w:val="28"/>
          <w:szCs w:val="28"/>
        </w:rPr>
        <w:t>Treatment</w:t>
      </w:r>
      <w:proofErr w:type="gramStart"/>
      <w:r w:rsidRPr="002560CF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Treat</w:t>
      </w:r>
      <w:proofErr w:type="gramEnd"/>
      <w:r w:rsidRPr="002560CF">
        <w:rPr>
          <w:rFonts w:asciiTheme="majorBidi" w:hAnsiTheme="majorBidi" w:cstheme="majorBidi"/>
          <w:sz w:val="28"/>
          <w:szCs w:val="28"/>
          <w:lang w:val="en-US"/>
        </w:rPr>
        <w:t xml:space="preserve"> all active cases</w:t>
      </w:r>
    </w:p>
    <w:p w:rsidR="002560CF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1.</w:t>
      </w:r>
      <w:r w:rsidRPr="002560CF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Itraconazole</w:t>
      </w:r>
      <w:proofErr w:type="gramEnd"/>
      <w:r w:rsidRPr="002560CF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 xml:space="preserve">(200-400 mg OD x 6 months)Except CNS </w:t>
      </w:r>
      <w:proofErr w:type="spellStart"/>
      <w:r w:rsidRPr="002560CF">
        <w:rPr>
          <w:rFonts w:asciiTheme="majorBidi" w:hAnsiTheme="majorBidi" w:cstheme="majorBidi"/>
          <w:sz w:val="28"/>
          <w:szCs w:val="28"/>
          <w:lang w:val="en-US"/>
        </w:rPr>
        <w:t>blastomycosis</w:t>
      </w:r>
      <w:proofErr w:type="spellEnd"/>
      <w:r w:rsidRPr="002560C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2560CF" w:rsidRDefault="002560CF" w:rsidP="002560CF">
      <w:pPr>
        <w:rPr>
          <w:rFonts w:asciiTheme="majorBidi" w:hAnsiTheme="majorBidi" w:cstheme="majorBidi"/>
          <w:sz w:val="28"/>
          <w:szCs w:val="28"/>
          <w:lang w:val="en-US"/>
        </w:rPr>
      </w:pPr>
      <w:proofErr w:type="gramStart"/>
      <w:r w:rsidRPr="002560CF">
        <w:rPr>
          <w:rFonts w:asciiTheme="majorBidi" w:hAnsiTheme="majorBidi" w:cstheme="majorBidi"/>
          <w:b/>
          <w:bCs/>
          <w:sz w:val="28"/>
          <w:szCs w:val="28"/>
          <w:lang w:val="en-US"/>
        </w:rPr>
        <w:t>2.</w:t>
      </w:r>
      <w:r w:rsidRPr="002560CF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Amphotericin</w:t>
      </w:r>
      <w:proofErr w:type="gramEnd"/>
      <w:r w:rsidRPr="002560CF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B </w:t>
      </w:r>
      <w:r w:rsidRPr="002560CF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IV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(x 6-10 weeks)</w:t>
      </w:r>
      <w:r w:rsidRPr="002560CF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Life-threatening disease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CNS disease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Lack of response to ICZ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r w:rsidRPr="002560CF">
        <w:rPr>
          <w:rFonts w:asciiTheme="majorBidi" w:hAnsiTheme="majorBidi" w:cstheme="majorBidi"/>
          <w:sz w:val="28"/>
          <w:szCs w:val="28"/>
          <w:lang w:val="en-US"/>
        </w:rPr>
        <w:t>ICZ toxicity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541052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  <w:r w:rsidRPr="007A6A7F">
        <w:rPr>
          <w:rFonts w:asciiTheme="majorBidi" w:hAnsiTheme="majorBidi" w:cstheme="majorBidi"/>
          <w:b/>
          <w:bCs/>
          <w:sz w:val="28"/>
          <w:szCs w:val="28"/>
          <w:lang w:val="en-US"/>
        </w:rPr>
        <w:t>3-</w:t>
      </w:r>
      <w:r w:rsidRPr="007A6A7F">
        <w:rPr>
          <w:rFonts w:ascii="Arial" w:eastAsia="+mn-ea" w:hAnsi="Arial" w:cs="Arial"/>
          <w:b/>
          <w:bCs/>
          <w:color w:val="132767"/>
          <w:sz w:val="56"/>
          <w:szCs w:val="56"/>
          <w:lang w:val="en-US"/>
        </w:rPr>
        <w:t xml:space="preserve"> </w:t>
      </w:r>
      <w:r w:rsidR="00636A94" w:rsidRPr="007A6A7F">
        <w:rPr>
          <w:rFonts w:asciiTheme="majorBidi" w:hAnsiTheme="majorBidi" w:cstheme="majorBidi"/>
          <w:b/>
          <w:bCs/>
          <w:sz w:val="28"/>
          <w:szCs w:val="28"/>
          <w:lang w:val="en-US"/>
        </w:rPr>
        <w:t>Surgical excision</w:t>
      </w:r>
      <w:r w:rsidR="00636A94" w:rsidRPr="002560CF">
        <w:rPr>
          <w:rFonts w:asciiTheme="majorBidi" w:hAnsiTheme="majorBidi" w:cstheme="majorBidi"/>
          <w:sz w:val="28"/>
          <w:szCs w:val="28"/>
          <w:lang w:val="en-US"/>
        </w:rPr>
        <w:t xml:space="preserve"> may be helpful. </w:t>
      </w:r>
    </w:p>
    <w:p w:rsidR="002560CF" w:rsidRPr="007A6A7F" w:rsidRDefault="002560CF" w:rsidP="007A6A7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7A6A7F">
        <w:rPr>
          <w:rFonts w:asciiTheme="majorBidi" w:hAnsiTheme="majorBidi" w:cstheme="majorBidi"/>
          <w:sz w:val="28"/>
          <w:szCs w:val="28"/>
          <w:lang w:val="en-US"/>
        </w:rPr>
        <w:t>There are no means of prevention</w:t>
      </w:r>
      <w:r w:rsidRPr="007A6A7F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2560CF" w:rsidRPr="002560CF" w:rsidRDefault="002560CF" w:rsidP="002560CF">
      <w:pPr>
        <w:rPr>
          <w:rFonts w:asciiTheme="majorBidi" w:hAnsiTheme="majorBidi" w:cstheme="majorBidi"/>
          <w:sz w:val="28"/>
          <w:szCs w:val="28"/>
        </w:rPr>
      </w:pPr>
    </w:p>
    <w:p w:rsidR="00943BD2" w:rsidRPr="00943BD2" w:rsidRDefault="00943BD2" w:rsidP="00943BD2">
      <w:pPr>
        <w:rPr>
          <w:rFonts w:asciiTheme="majorBidi" w:hAnsiTheme="majorBidi" w:cstheme="majorBidi"/>
          <w:sz w:val="28"/>
          <w:szCs w:val="28"/>
        </w:rPr>
      </w:pPr>
    </w:p>
    <w:p w:rsidR="00943BD2" w:rsidRPr="00943BD2" w:rsidRDefault="00943BD2" w:rsidP="00943BD2">
      <w:pPr>
        <w:rPr>
          <w:rFonts w:asciiTheme="majorBidi" w:hAnsiTheme="majorBidi" w:cstheme="majorBidi"/>
          <w:sz w:val="28"/>
          <w:szCs w:val="28"/>
        </w:rPr>
      </w:pPr>
    </w:p>
    <w:p w:rsidR="00C52E87" w:rsidRPr="00943BD2" w:rsidRDefault="00C52E87" w:rsidP="00943BD2">
      <w:pPr>
        <w:rPr>
          <w:rFonts w:asciiTheme="majorBidi" w:hAnsiTheme="majorBidi" w:cstheme="majorBidi"/>
          <w:sz w:val="28"/>
          <w:szCs w:val="28"/>
        </w:rPr>
      </w:pPr>
    </w:p>
    <w:p w:rsidR="00980003" w:rsidRPr="00D70D9F" w:rsidRDefault="00980003" w:rsidP="00D70D9F">
      <w:pPr>
        <w:rPr>
          <w:rFonts w:asciiTheme="majorBidi" w:hAnsiTheme="majorBidi" w:cstheme="majorBidi"/>
          <w:sz w:val="28"/>
          <w:szCs w:val="28"/>
        </w:rPr>
      </w:pPr>
    </w:p>
    <w:sectPr w:rsidR="00980003" w:rsidRPr="00D70D9F" w:rsidSect="0054105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D1" w:rsidRDefault="005A39D1" w:rsidP="001B6297">
      <w:pPr>
        <w:spacing w:after="0" w:line="240" w:lineRule="auto"/>
      </w:pPr>
      <w:r>
        <w:separator/>
      </w:r>
    </w:p>
  </w:endnote>
  <w:endnote w:type="continuationSeparator" w:id="1">
    <w:p w:rsidR="005A39D1" w:rsidRDefault="005A39D1" w:rsidP="001B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31572"/>
      <w:docPartObj>
        <w:docPartGallery w:val="Page Numbers (Bottom of Page)"/>
        <w:docPartUnique/>
      </w:docPartObj>
    </w:sdtPr>
    <w:sdtContent>
      <w:p w:rsidR="005A39D1" w:rsidRDefault="005A39D1">
        <w:pPr>
          <w:pStyle w:val="Footer"/>
          <w:jc w:val="center"/>
        </w:pPr>
        <w:fldSimple w:instr=" PAGE   \* MERGEFORMAT ">
          <w:r w:rsidR="002533CD">
            <w:rPr>
              <w:noProof/>
            </w:rPr>
            <w:t>3</w:t>
          </w:r>
        </w:fldSimple>
      </w:p>
    </w:sdtContent>
  </w:sdt>
  <w:p w:rsidR="005A39D1" w:rsidRDefault="005A3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D1" w:rsidRDefault="005A39D1" w:rsidP="001B6297">
      <w:pPr>
        <w:spacing w:after="0" w:line="240" w:lineRule="auto"/>
      </w:pPr>
      <w:r>
        <w:separator/>
      </w:r>
    </w:p>
  </w:footnote>
  <w:footnote w:type="continuationSeparator" w:id="1">
    <w:p w:rsidR="005A39D1" w:rsidRDefault="005A39D1" w:rsidP="001B6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6D8"/>
    <w:multiLevelType w:val="hybridMultilevel"/>
    <w:tmpl w:val="6302C19E"/>
    <w:lvl w:ilvl="0" w:tplc="5ACCA3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94F0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EB3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23B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E85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E34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F6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F41B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239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4C452C"/>
    <w:multiLevelType w:val="hybridMultilevel"/>
    <w:tmpl w:val="D2FA66EC"/>
    <w:lvl w:ilvl="0" w:tplc="D1CC0E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041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A56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4BE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AE2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C11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623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2B7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4526A"/>
    <w:multiLevelType w:val="hybridMultilevel"/>
    <w:tmpl w:val="FF3650C8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84ABA"/>
    <w:multiLevelType w:val="hybridMultilevel"/>
    <w:tmpl w:val="7E784192"/>
    <w:lvl w:ilvl="0" w:tplc="CB0E6B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839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245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486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C37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C01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2DC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86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A95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E25F0"/>
    <w:multiLevelType w:val="hybridMultilevel"/>
    <w:tmpl w:val="5A68DD9C"/>
    <w:lvl w:ilvl="0" w:tplc="46B4C7D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2CFE6974">
      <w:start w:val="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D8CAFC">
      <w:start w:val="723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CEE022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C2A07EC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C3C25C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3B2AA96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2342C6C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968E8D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>
    <w:nsid w:val="3F573D47"/>
    <w:multiLevelType w:val="hybridMultilevel"/>
    <w:tmpl w:val="332812E6"/>
    <w:lvl w:ilvl="0" w:tplc="5686C6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CE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420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A8A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E6E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86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A8B6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4A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808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4E2125"/>
    <w:multiLevelType w:val="hybridMultilevel"/>
    <w:tmpl w:val="6336AD32"/>
    <w:lvl w:ilvl="0" w:tplc="CFBCEC4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A7636A0">
      <w:start w:val="7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E191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6F62C24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BBE6FC2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354A634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A252A72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8AE8B4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5FABC28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>
    <w:nsid w:val="668829BF"/>
    <w:multiLevelType w:val="hybridMultilevel"/>
    <w:tmpl w:val="9EB05130"/>
    <w:lvl w:ilvl="0" w:tplc="28385A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4DD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020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254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830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033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24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8A7C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EFC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F65764"/>
    <w:multiLevelType w:val="hybridMultilevel"/>
    <w:tmpl w:val="BF4A0F2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4577F"/>
    <w:multiLevelType w:val="hybridMultilevel"/>
    <w:tmpl w:val="BCF8F83E"/>
    <w:lvl w:ilvl="0" w:tplc="284C5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A1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9EA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8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4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6A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AC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CC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AEB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F0473"/>
    <w:multiLevelType w:val="hybridMultilevel"/>
    <w:tmpl w:val="DEBC56B4"/>
    <w:lvl w:ilvl="0" w:tplc="8B7E03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E49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090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0F2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66C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C2A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2E7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A2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98F6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36A"/>
    <w:rsid w:val="001B6297"/>
    <w:rsid w:val="002268FD"/>
    <w:rsid w:val="002533CD"/>
    <w:rsid w:val="002560CF"/>
    <w:rsid w:val="0026136A"/>
    <w:rsid w:val="00541052"/>
    <w:rsid w:val="005A39D1"/>
    <w:rsid w:val="005B32FD"/>
    <w:rsid w:val="00636A94"/>
    <w:rsid w:val="007A6A7F"/>
    <w:rsid w:val="00943BD2"/>
    <w:rsid w:val="00980003"/>
    <w:rsid w:val="00AB2770"/>
    <w:rsid w:val="00C52E87"/>
    <w:rsid w:val="00D70D9F"/>
    <w:rsid w:val="00F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3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2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B6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97"/>
  </w:style>
  <w:style w:type="paragraph" w:styleId="Footer">
    <w:name w:val="footer"/>
    <w:basedOn w:val="Normal"/>
    <w:link w:val="FooterChar"/>
    <w:uiPriority w:val="99"/>
    <w:unhideWhenUsed/>
    <w:rsid w:val="001B6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30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6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54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83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65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483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7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779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6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7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41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0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04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2016-02-16T16:14:00Z</dcterms:created>
  <dcterms:modified xsi:type="dcterms:W3CDTF">2016-02-19T16:27:00Z</dcterms:modified>
</cp:coreProperties>
</file>